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345DE3" w14:textId="78DAFCD3" w:rsidR="00574DA9" w:rsidRPr="00633320" w:rsidRDefault="00574DA9" w:rsidP="00633320">
      <w:pPr>
        <w:spacing w:before="0"/>
        <w:rPr>
          <w:rStyle w:val="href"/>
          <w:sz w:val="16"/>
          <w:szCs w:val="16"/>
          <w:lang w:val="fr-CH"/>
        </w:rPr>
      </w:pPr>
      <w:r w:rsidRPr="00633320">
        <w:rPr>
          <w:rStyle w:val="href"/>
          <w:sz w:val="16"/>
          <w:szCs w:val="16"/>
          <w:lang w:val="fr-CH"/>
        </w:rPr>
        <w:t>(ADD RRB21/479)</w:t>
      </w:r>
      <w:bookmarkStart w:id="0" w:name="_GoBack"/>
      <w:bookmarkEnd w:id="0"/>
    </w:p>
    <w:p w14:paraId="78206045" w14:textId="26E23C69" w:rsidR="00DF0E47" w:rsidRPr="000A1930" w:rsidRDefault="000A1930" w:rsidP="00D41FDB">
      <w:pPr>
        <w:pStyle w:val="Heading1"/>
        <w:spacing w:before="360"/>
        <w:ind w:left="0" w:firstLine="0"/>
        <w:jc w:val="center"/>
        <w:rPr>
          <w:lang w:val="fr-CH"/>
        </w:rPr>
      </w:pPr>
      <w:r w:rsidRPr="000A1930">
        <w:rPr>
          <w:lang w:val="fr-FR"/>
        </w:rPr>
        <w:t>Règles relatives à la prorogation du délai réglementaire applicable à la mise en service d'assignations de fréquence à un satellite</w:t>
      </w:r>
    </w:p>
    <w:p w14:paraId="46AF1E1F" w14:textId="77777777" w:rsidR="000A1930" w:rsidRPr="000A1930" w:rsidRDefault="000A1930" w:rsidP="00633320">
      <w:pPr>
        <w:spacing w:before="120"/>
        <w:rPr>
          <w:lang w:val="fr-CH"/>
        </w:rPr>
      </w:pPr>
      <w:r w:rsidRPr="000A1930">
        <w:rPr>
          <w:lang w:val="fr-CH"/>
        </w:rPr>
        <w:t>La CMR-12 a pris la décision suivante concernant la prorogation du délai réglementaire applicable à</w:t>
      </w:r>
      <w:r w:rsidRPr="000A1930">
        <w:rPr>
          <w:sz w:val="28"/>
          <w:szCs w:val="28"/>
          <w:lang w:val="fr-CH"/>
        </w:rPr>
        <w:t xml:space="preserve"> </w:t>
      </w:r>
      <w:r w:rsidRPr="000A1930">
        <w:rPr>
          <w:lang w:val="fr-CH"/>
        </w:rPr>
        <w:t>la mise en service d'assignations de fréquence à un satellite, voir le paragraphe 3.20 du procès</w:t>
      </w:r>
      <w:r w:rsidRPr="000A1930">
        <w:rPr>
          <w:lang w:val="fr-CH"/>
        </w:rPr>
        <w:noBreakHyphen/>
        <w:t>verbal de la 13ème séance plénière, Doc. CMR12/</w:t>
      </w:r>
      <w:proofErr w:type="gramStart"/>
      <w:r w:rsidRPr="000A1930">
        <w:rPr>
          <w:lang w:val="fr-CH"/>
        </w:rPr>
        <w:t>554:</w:t>
      </w:r>
      <w:proofErr w:type="gramEnd"/>
    </w:p>
    <w:p w14:paraId="4723707D" w14:textId="77777777" w:rsidR="000A1930" w:rsidRPr="000A1930" w:rsidRDefault="000A1930" w:rsidP="00633320">
      <w:pPr>
        <w:spacing w:before="120"/>
        <w:rPr>
          <w:bCs/>
          <w:lang w:val="fr-CH"/>
        </w:rPr>
      </w:pPr>
      <w:r w:rsidRPr="000A1930">
        <w:rPr>
          <w:bCs/>
          <w:lang w:val="fr-CH"/>
        </w:rPr>
        <w:t>«3.20</w:t>
      </w:r>
      <w:r w:rsidRPr="000A1930">
        <w:rPr>
          <w:bCs/>
          <w:lang w:val="fr-CH"/>
        </w:rPr>
        <w:tab/>
        <w:t xml:space="preserve">Le </w:t>
      </w:r>
      <w:r w:rsidRPr="000A1930">
        <w:rPr>
          <w:b/>
          <w:lang w:val="fr-CH"/>
        </w:rPr>
        <w:t>Président de la Commission 5</w:t>
      </w:r>
      <w:r w:rsidRPr="000A1930">
        <w:rPr>
          <w:bCs/>
          <w:lang w:val="fr-CH"/>
        </w:rPr>
        <w:t xml:space="preserve"> présente le Document 525 et indique que ce document porte sur quatre questions relatives au point 7 de l'ordre du jour et sur une question concernant le point 8.1.2 de l'ordre du jour. La première question relative au point 7 de l'ordre du jour concerne la prorogation du délai réglementaire de mise en service d'assignations de fréquence à un satellite en raison de retards de lancement indépendants de la volonté de l'administration. La Commission 5 a examiné certaines propositions visant à élaborer une nouvelle Résolution de la CMR, qui permettrait d'octroyer des prorogations limitées et conditionnelles dans le cas de retards dus à l'embarquement d'un autre satellite sur le même lanceur et d'étendre ces prorogations en cas de force majeure. Cependant, étant donné que l'élaboration d'une Résolution suscite des préoccupations et que ces cas peuvent être soumis au Comité du Règlement des radiocommunications ou à de futures conférences au cas par cas, la Commission n'a pas poursuivi l'examen de la question.</w:t>
      </w:r>
      <w:r w:rsidRPr="000A1930">
        <w:rPr>
          <w:lang w:val="fr-CH"/>
        </w:rPr>
        <w:t xml:space="preserve"> …»</w:t>
      </w:r>
    </w:p>
    <w:p w14:paraId="359F5476" w14:textId="5230DBFA" w:rsidR="000A1930" w:rsidRPr="000A1930" w:rsidRDefault="000A1930" w:rsidP="00633320">
      <w:pPr>
        <w:spacing w:before="120"/>
        <w:rPr>
          <w:lang w:val="fr-CH"/>
        </w:rPr>
      </w:pPr>
      <w:r w:rsidRPr="000A1930">
        <w:rPr>
          <w:lang w:val="fr-CH"/>
        </w:rPr>
        <w:t>La CMR-15 a pris la décision suivante concernant la prorogation du délai réglementaire applicable à la mise en service d'assignations de fréquence à un satellite, voir le paragraphe</w:t>
      </w:r>
      <w:r w:rsidR="00D41FDB">
        <w:rPr>
          <w:lang w:val="fr-CH"/>
        </w:rPr>
        <w:t> </w:t>
      </w:r>
      <w:r w:rsidRPr="000A1930">
        <w:rPr>
          <w:lang w:val="fr-CH"/>
        </w:rPr>
        <w:t>3.19 du procès</w:t>
      </w:r>
      <w:r w:rsidRPr="000A1930">
        <w:rPr>
          <w:lang w:val="fr-CH"/>
        </w:rPr>
        <w:noBreakHyphen/>
        <w:t>verbal de la 7ème séance plénière, Doc. CMR15/</w:t>
      </w:r>
      <w:proofErr w:type="gramStart"/>
      <w:r w:rsidRPr="000A1930">
        <w:rPr>
          <w:lang w:val="fr-CH"/>
        </w:rPr>
        <w:t>504:</w:t>
      </w:r>
      <w:proofErr w:type="gramEnd"/>
    </w:p>
    <w:p w14:paraId="3C77FFAB" w14:textId="77777777" w:rsidR="000A1930" w:rsidRPr="000A1930" w:rsidRDefault="000A1930" w:rsidP="00633320">
      <w:pPr>
        <w:spacing w:before="120"/>
        <w:rPr>
          <w:lang w:val="fr-CH"/>
        </w:rPr>
      </w:pPr>
      <w:proofErr w:type="gramStart"/>
      <w:r w:rsidRPr="000A1930">
        <w:rPr>
          <w:lang w:val="fr-CH"/>
        </w:rPr>
        <w:t>«3.19</w:t>
      </w:r>
      <w:proofErr w:type="gramEnd"/>
      <w:r w:rsidRPr="000A1930">
        <w:rPr>
          <w:lang w:val="fr-CH"/>
        </w:rPr>
        <w:t xml:space="preserve"> (…) Après examen de la question de l'échec de lancement d'un satellite, la CMR-15 confirme la décision prise par la CMR-12 (à sa treizième séance) selon laquelle le Comité peut examiner les demandes de prorogation d'un délai sur la base de retards dus à l'embarquement d'un autre satellite sur le même lanceur ou en cas de force majeure, en tenant compte des règles et des pratiques applicables au niveau international, pour autant que les prorogations soient «limitées et conditionnelles».»</w:t>
      </w:r>
    </w:p>
    <w:p w14:paraId="629823ED" w14:textId="77777777" w:rsidR="000A1930" w:rsidRPr="000A1930" w:rsidRDefault="000A1930" w:rsidP="00633320">
      <w:pPr>
        <w:spacing w:before="120"/>
        <w:rPr>
          <w:lang w:val="fr-CH"/>
        </w:rPr>
      </w:pPr>
      <w:r w:rsidRPr="000A1930">
        <w:rPr>
          <w:lang w:val="fr-CH"/>
        </w:rPr>
        <w:t>La CMR-19 a pris la décision suivante concernant les cas de retards dus à l'embarquement d'un autre satellite sur le même lanceur et l'utilisation de systèmes de propulsion électriques, voir le paragraphe 3.16 du procès-verbal de la 8ème séance plénière, Doc. CMR19/</w:t>
      </w:r>
      <w:proofErr w:type="gramStart"/>
      <w:r w:rsidRPr="000A1930">
        <w:rPr>
          <w:lang w:val="fr-CH"/>
        </w:rPr>
        <w:t>569:</w:t>
      </w:r>
      <w:proofErr w:type="gramEnd"/>
    </w:p>
    <w:p w14:paraId="01A72F04" w14:textId="77777777" w:rsidR="000A1930" w:rsidRPr="000A1930" w:rsidRDefault="000A1930" w:rsidP="00633320">
      <w:pPr>
        <w:spacing w:before="120"/>
        <w:rPr>
          <w:lang w:val="fr-CH"/>
        </w:rPr>
      </w:pPr>
      <w:proofErr w:type="gramStart"/>
      <w:r w:rsidRPr="000A1930">
        <w:rPr>
          <w:lang w:val="fr-CH"/>
        </w:rPr>
        <w:t>«3.16</w:t>
      </w:r>
      <w:proofErr w:type="gramEnd"/>
      <w:r w:rsidRPr="000A1930">
        <w:rPr>
          <w:lang w:val="fr-CH"/>
        </w:rPr>
        <w:t xml:space="preserve"> (…) En ce qui concerne le § 4.3.4, intitulé «Cas de retards dus à l'embarquement d'un autre satellite sur le même lanceur», la CMR-19 a décidé que le Comité doit examiner la nécessité que les renseignements suivants lui soient fournis, selon qu'il conviendra, lorsqu'il est amené à examiner une demande de prorogation du délai réglementaire en cas de retard dû à l'embarquement d'un autre satellite sur le même lanceur:</w:t>
      </w:r>
    </w:p>
    <w:p w14:paraId="05C35FDC" w14:textId="77777777" w:rsidR="000A1930" w:rsidRPr="000A1930" w:rsidRDefault="000A1930" w:rsidP="00633320">
      <w:pPr>
        <w:pStyle w:val="enumlev1"/>
        <w:spacing w:before="80"/>
        <w:rPr>
          <w:lang w:val="fr-CH"/>
        </w:rPr>
      </w:pPr>
      <w:r w:rsidRPr="000A1930">
        <w:rPr>
          <w:lang w:val="fr-CH"/>
        </w:rPr>
        <w:t>–</w:t>
      </w:r>
      <w:r w:rsidRPr="000A1930">
        <w:rPr>
          <w:lang w:val="fr-CH"/>
        </w:rPr>
        <w:tab/>
        <w:t xml:space="preserve">description succincte du satellite devant être lancé, accompagnée des bandes de </w:t>
      </w:r>
      <w:proofErr w:type="gramStart"/>
      <w:r w:rsidRPr="000A1930">
        <w:rPr>
          <w:lang w:val="fr-CH"/>
        </w:rPr>
        <w:t>fréquences;</w:t>
      </w:r>
      <w:proofErr w:type="gramEnd"/>
      <w:r w:rsidRPr="000A1930">
        <w:rPr>
          <w:lang w:val="fr-CH"/>
        </w:rPr>
        <w:t xml:space="preserve"> </w:t>
      </w:r>
    </w:p>
    <w:p w14:paraId="33411F44" w14:textId="77777777" w:rsidR="000A1930" w:rsidRPr="000A1930" w:rsidRDefault="000A1930" w:rsidP="00633320">
      <w:pPr>
        <w:pStyle w:val="enumlev1"/>
        <w:spacing w:before="80"/>
        <w:rPr>
          <w:lang w:val="fr-CH"/>
        </w:rPr>
      </w:pPr>
      <w:r w:rsidRPr="000A1930">
        <w:rPr>
          <w:lang w:val="fr-CH"/>
        </w:rPr>
        <w:t>–</w:t>
      </w:r>
      <w:r w:rsidRPr="000A1930">
        <w:rPr>
          <w:lang w:val="fr-CH"/>
        </w:rPr>
        <w:tab/>
        <w:t xml:space="preserve">nom du constructeur retenu pour la construction du satellite et date de signature du </w:t>
      </w:r>
      <w:proofErr w:type="gramStart"/>
      <w:r w:rsidRPr="000A1930">
        <w:rPr>
          <w:lang w:val="fr-CH"/>
        </w:rPr>
        <w:t>contrat;</w:t>
      </w:r>
      <w:proofErr w:type="gramEnd"/>
    </w:p>
    <w:p w14:paraId="64593658" w14:textId="77777777" w:rsidR="000A1930" w:rsidRPr="000A1930" w:rsidRDefault="000A1930" w:rsidP="00633320">
      <w:pPr>
        <w:pStyle w:val="enumlev1"/>
        <w:spacing w:before="80"/>
        <w:rPr>
          <w:lang w:val="fr-CH"/>
        </w:rPr>
      </w:pPr>
      <w:r w:rsidRPr="000A1930">
        <w:rPr>
          <w:lang w:val="fr-CH"/>
        </w:rPr>
        <w:t>–</w:t>
      </w:r>
      <w:r w:rsidRPr="000A1930">
        <w:rPr>
          <w:lang w:val="fr-CH"/>
        </w:rPr>
        <w:tab/>
        <w:t xml:space="preserve">état d'avancement de la construction du satellite, y compris la date de début et une précision indiquant s'il était prévu que sa construction soit achevée avant la fenêtre de lancement </w:t>
      </w:r>
      <w:proofErr w:type="gramStart"/>
      <w:r w:rsidRPr="000A1930">
        <w:rPr>
          <w:lang w:val="fr-CH"/>
        </w:rPr>
        <w:t>initiale;</w:t>
      </w:r>
      <w:proofErr w:type="gramEnd"/>
    </w:p>
    <w:p w14:paraId="4D86C930" w14:textId="77777777" w:rsidR="000A1930" w:rsidRPr="000A1930" w:rsidRDefault="000A1930" w:rsidP="00633320">
      <w:pPr>
        <w:pStyle w:val="enumlev1"/>
        <w:spacing w:before="80"/>
        <w:rPr>
          <w:lang w:val="fr-CH"/>
        </w:rPr>
      </w:pPr>
      <w:r w:rsidRPr="000A1930">
        <w:rPr>
          <w:lang w:val="fr-CH"/>
        </w:rPr>
        <w:t>–</w:t>
      </w:r>
      <w:r w:rsidRPr="000A1930">
        <w:rPr>
          <w:lang w:val="fr-CH"/>
        </w:rPr>
        <w:tab/>
        <w:t xml:space="preserve">nom du fournisseur du lanceur et date de signature du </w:t>
      </w:r>
      <w:proofErr w:type="gramStart"/>
      <w:r w:rsidRPr="000A1930">
        <w:rPr>
          <w:lang w:val="fr-CH"/>
        </w:rPr>
        <w:t>contrat;</w:t>
      </w:r>
      <w:proofErr w:type="gramEnd"/>
    </w:p>
    <w:p w14:paraId="46E1184B" w14:textId="77777777" w:rsidR="000A1930" w:rsidRPr="000A1930" w:rsidRDefault="000A1930" w:rsidP="00633320">
      <w:pPr>
        <w:pStyle w:val="enumlev1"/>
        <w:spacing w:before="80"/>
        <w:rPr>
          <w:lang w:val="fr-CH"/>
        </w:rPr>
      </w:pPr>
      <w:r w:rsidRPr="000A1930">
        <w:rPr>
          <w:lang w:val="fr-CH"/>
        </w:rPr>
        <w:t>–</w:t>
      </w:r>
      <w:r w:rsidRPr="000A1930">
        <w:rPr>
          <w:lang w:val="fr-CH"/>
        </w:rPr>
        <w:tab/>
        <w:t xml:space="preserve">fenêtre de lancement initiale et </w:t>
      </w:r>
      <w:proofErr w:type="gramStart"/>
      <w:r w:rsidRPr="000A1930">
        <w:rPr>
          <w:lang w:val="fr-CH"/>
        </w:rPr>
        <w:t>révisée;</w:t>
      </w:r>
      <w:proofErr w:type="gramEnd"/>
    </w:p>
    <w:p w14:paraId="446DD7A1" w14:textId="77777777" w:rsidR="000A1930" w:rsidRPr="000A1930" w:rsidRDefault="000A1930" w:rsidP="00633320">
      <w:pPr>
        <w:pStyle w:val="enumlev1"/>
        <w:spacing w:before="80"/>
        <w:rPr>
          <w:lang w:val="fr-CH"/>
        </w:rPr>
      </w:pPr>
      <w:r w:rsidRPr="000A1930">
        <w:rPr>
          <w:lang w:val="fr-CH"/>
        </w:rPr>
        <w:lastRenderedPageBreak/>
        <w:t>–</w:t>
      </w:r>
      <w:r w:rsidRPr="000A1930">
        <w:rPr>
          <w:lang w:val="fr-CH"/>
        </w:rPr>
        <w:tab/>
        <w:t>précisions suffisantes pour justifier que la demande de prorogation est imputable à un retard dû à l'embarquement d'un autre satellite sur le même lanceur (par exemple lettre du fournisseur de lancement indiquant que le lancement est retardé en raison d'un retard ayant des incidences sur l'autre satellite à embarquer sur le même lanceur</w:t>
      </w:r>
      <w:proofErr w:type="gramStart"/>
      <w:r w:rsidRPr="000A1930">
        <w:rPr>
          <w:lang w:val="fr-CH"/>
        </w:rPr>
        <w:t>);</w:t>
      </w:r>
      <w:proofErr w:type="gramEnd"/>
      <w:r w:rsidRPr="000A1930">
        <w:rPr>
          <w:lang w:val="fr-CH"/>
        </w:rPr>
        <w:t xml:space="preserve"> </w:t>
      </w:r>
    </w:p>
    <w:p w14:paraId="44F601EC" w14:textId="77777777" w:rsidR="000A1930" w:rsidRPr="000A1930" w:rsidRDefault="000A1930" w:rsidP="00633320">
      <w:pPr>
        <w:pStyle w:val="enumlev1"/>
        <w:spacing w:before="80"/>
        <w:rPr>
          <w:lang w:val="fr-CH"/>
        </w:rPr>
      </w:pPr>
      <w:r w:rsidRPr="000A1930">
        <w:rPr>
          <w:lang w:val="fr-CH"/>
        </w:rPr>
        <w:t>–</w:t>
      </w:r>
      <w:r w:rsidRPr="000A1930">
        <w:rPr>
          <w:lang w:val="fr-CH"/>
        </w:rPr>
        <w:tab/>
        <w:t xml:space="preserve">précisions suffisantes pour justifier la durée de la période de prorogation </w:t>
      </w:r>
      <w:proofErr w:type="gramStart"/>
      <w:r w:rsidRPr="000A1930">
        <w:rPr>
          <w:lang w:val="fr-CH"/>
        </w:rPr>
        <w:t>demandée;</w:t>
      </w:r>
      <w:proofErr w:type="gramEnd"/>
      <w:r w:rsidRPr="000A1930">
        <w:rPr>
          <w:lang w:val="fr-CH"/>
        </w:rPr>
        <w:t xml:space="preserve"> et</w:t>
      </w:r>
    </w:p>
    <w:p w14:paraId="2CB48AAF" w14:textId="77777777" w:rsidR="000A1930" w:rsidRPr="000A1930" w:rsidRDefault="000A1930" w:rsidP="00633320">
      <w:pPr>
        <w:pStyle w:val="enumlev1"/>
        <w:spacing w:before="80"/>
        <w:rPr>
          <w:lang w:val="fr-CH"/>
        </w:rPr>
      </w:pPr>
      <w:r w:rsidRPr="000A1930">
        <w:rPr>
          <w:lang w:val="fr-CH"/>
        </w:rPr>
        <w:t>–</w:t>
      </w:r>
      <w:r w:rsidRPr="000A1930">
        <w:rPr>
          <w:lang w:val="fr-CH"/>
        </w:rPr>
        <w:tab/>
        <w:t>tout autre renseignement et document pertinents.</w:t>
      </w:r>
    </w:p>
    <w:p w14:paraId="530B1817" w14:textId="25392E26" w:rsidR="008B2CEF" w:rsidRPr="000A1930" w:rsidRDefault="000A1930" w:rsidP="00633320">
      <w:pPr>
        <w:tabs>
          <w:tab w:val="left" w:pos="3402"/>
        </w:tabs>
        <w:spacing w:before="120" w:line="280" w:lineRule="exact"/>
        <w:rPr>
          <w:szCs w:val="24"/>
          <w:lang w:val="fr-CH"/>
          <w:rPrChange w:id="1" w:author="Editors" w:date="2021-10-15T16:27:00Z">
            <w:rPr>
              <w:szCs w:val="24"/>
              <w:lang w:val="en-CA"/>
            </w:rPr>
          </w:rPrChange>
        </w:rPr>
      </w:pPr>
      <w:r w:rsidRPr="000A1930">
        <w:rPr>
          <w:lang w:val="fr-CH"/>
        </w:rPr>
        <w:t>Lors de l'examen des demandes remplissant les conditions requises pour être considérées comme un cas de force majeure ou un cas de retard dû à l'embarquement d'un autre satellite sur le même lanceur, la CMR-19 charge le RRB de continuer de prendre en considération l'utilisation de systèmes de propulsion électriques au cas par cas au moment de déterminer la durée de la prorogation, en fonction des spécificités de chaque cas</w:t>
      </w:r>
      <w:proofErr w:type="gramStart"/>
      <w:r w:rsidRPr="000A1930">
        <w:rPr>
          <w:lang w:val="fr-CH"/>
        </w:rPr>
        <w:t>.»</w:t>
      </w:r>
      <w:proofErr w:type="gramEnd"/>
    </w:p>
    <w:p w14:paraId="016C9B9E" w14:textId="77777777" w:rsidR="00B63DC3" w:rsidRPr="0069500F" w:rsidRDefault="00B63DC3" w:rsidP="0023544A">
      <w:pPr>
        <w:jc w:val="center"/>
      </w:pPr>
      <w:r w:rsidRPr="0069500F">
        <w:t>___________________</w:t>
      </w:r>
    </w:p>
    <w:p w14:paraId="3E9A9A72" w14:textId="527CDBBA" w:rsidR="00B63DC3" w:rsidRDefault="00B63DC3" w:rsidP="00B63DC3"/>
    <w:p w14:paraId="1B064F4E" w14:textId="5C1D29EB" w:rsidR="008919D9" w:rsidRDefault="008919D9" w:rsidP="00B63DC3"/>
    <w:p w14:paraId="65DDFA41" w14:textId="0FD6804F" w:rsidR="008919D9" w:rsidRDefault="008919D9" w:rsidP="00B63DC3"/>
    <w:p w14:paraId="3305115F" w14:textId="55AF9045" w:rsidR="008919D9" w:rsidRDefault="008919D9" w:rsidP="00B63DC3"/>
    <w:p w14:paraId="4B3E828E" w14:textId="3823531C" w:rsidR="00574DA9" w:rsidRDefault="00574DA9" w:rsidP="00B63DC3"/>
    <w:p w14:paraId="3E3824A0" w14:textId="0AE1E499" w:rsidR="00574DA9" w:rsidRDefault="00574DA9" w:rsidP="00B63DC3"/>
    <w:p w14:paraId="170B663A" w14:textId="2B5D6BBB" w:rsidR="00574DA9" w:rsidRDefault="00574DA9" w:rsidP="00B63DC3"/>
    <w:p w14:paraId="39FAA24D" w14:textId="5F3134BE" w:rsidR="00574DA9" w:rsidRDefault="00574DA9" w:rsidP="00B63DC3"/>
    <w:p w14:paraId="7DC155E1" w14:textId="7D08986A" w:rsidR="00574DA9" w:rsidRDefault="00574DA9" w:rsidP="00B63DC3"/>
    <w:p w14:paraId="4DCC0821" w14:textId="77777777" w:rsidR="00574DA9" w:rsidRDefault="00574DA9" w:rsidP="00B63DC3"/>
    <w:p w14:paraId="704778B5" w14:textId="77777777" w:rsidR="008919D9" w:rsidRDefault="008919D9" w:rsidP="00B63DC3"/>
    <w:p w14:paraId="4C23DB09" w14:textId="77777777" w:rsidR="00304A93" w:rsidRDefault="00304A93" w:rsidP="00B63DC3"/>
    <w:p w14:paraId="1696C27C" w14:textId="77777777" w:rsidR="00304A93" w:rsidRDefault="00304A93" w:rsidP="00B63DC3"/>
    <w:sectPr w:rsidR="00304A93" w:rsidSect="00633320">
      <w:headerReference w:type="even" r:id="rId8"/>
      <w:headerReference w:type="default" r:id="rId9"/>
      <w:footnotePr>
        <w:pos w:val="beneathText"/>
      </w:footnotePr>
      <w:pgSz w:w="11907" w:h="16840" w:code="9"/>
      <w:pgMar w:top="1701" w:right="851" w:bottom="1134" w:left="1985" w:header="680" w:footer="482" w:gutter="0"/>
      <w:cols w:space="720"/>
      <w:vAlign w:val="both"/>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0D749" w14:textId="77777777" w:rsidR="00D975F5" w:rsidRDefault="00D975F5">
      <w:r>
        <w:separator/>
      </w:r>
    </w:p>
  </w:endnote>
  <w:endnote w:type="continuationSeparator" w:id="0">
    <w:p w14:paraId="7CC38285" w14:textId="77777777" w:rsidR="00D975F5" w:rsidRDefault="00D97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425BE" w14:textId="77777777" w:rsidR="00D975F5" w:rsidRDefault="00D975F5">
      <w:r>
        <w:rPr>
          <w:b/>
        </w:rPr>
        <w:t>_______________</w:t>
      </w:r>
    </w:p>
  </w:footnote>
  <w:footnote w:type="continuationSeparator" w:id="0">
    <w:p w14:paraId="768203FF" w14:textId="77777777" w:rsidR="00D975F5" w:rsidRDefault="00D97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3005"/>
      <w:gridCol w:w="1701"/>
      <w:gridCol w:w="1701"/>
    </w:tblGrid>
    <w:tr w:rsidR="009B6C5F" w14:paraId="5BB35672" w14:textId="77777777" w:rsidTr="009B6C5F">
      <w:trPr>
        <w:cantSplit/>
      </w:trPr>
      <w:tc>
        <w:tcPr>
          <w:tcW w:w="1701" w:type="dxa"/>
          <w:tcBorders>
            <w:top w:val="single" w:sz="6" w:space="0" w:color="auto"/>
            <w:left w:val="single" w:sz="6" w:space="0" w:color="auto"/>
            <w:bottom w:val="single" w:sz="6" w:space="0" w:color="auto"/>
            <w:right w:val="single" w:sz="6" w:space="0" w:color="auto"/>
          </w:tcBorders>
        </w:tcPr>
        <w:p w14:paraId="36F03FF0" w14:textId="291AFA95" w:rsidR="009B6C5F" w:rsidRPr="009B6C5F" w:rsidRDefault="009B6C5F" w:rsidP="009B6C5F">
          <w:pPr>
            <w:pStyle w:val="HeaderRegProc"/>
            <w:ind w:right="360" w:firstLine="287"/>
            <w:jc w:val="center"/>
            <w:rPr>
              <w:spacing w:val="-6"/>
            </w:rPr>
          </w:pPr>
          <w:r w:rsidRPr="009B6C5F">
            <w:rPr>
              <w:spacing w:val="-6"/>
            </w:rPr>
            <w:t>Partie A1</w:t>
          </w:r>
        </w:p>
      </w:tc>
      <w:tc>
        <w:tcPr>
          <w:tcW w:w="3005" w:type="dxa"/>
          <w:tcBorders>
            <w:top w:val="single" w:sz="6" w:space="0" w:color="auto"/>
            <w:left w:val="single" w:sz="6" w:space="0" w:color="auto"/>
            <w:bottom w:val="single" w:sz="6" w:space="0" w:color="auto"/>
            <w:right w:val="single" w:sz="6" w:space="0" w:color="auto"/>
          </w:tcBorders>
        </w:tcPr>
        <w:p w14:paraId="39D19BE6" w14:textId="77777777" w:rsidR="009B6C5F" w:rsidRPr="009B6C5F" w:rsidRDefault="009B6C5F" w:rsidP="009B6C5F">
          <w:pPr>
            <w:pStyle w:val="HeaderRegProc"/>
            <w:ind w:left="0"/>
            <w:jc w:val="center"/>
            <w:rPr>
              <w:spacing w:val="-10"/>
            </w:rPr>
          </w:pPr>
          <w:r w:rsidRPr="009B6C5F">
            <w:rPr>
              <w:spacing w:val="-10"/>
            </w:rPr>
            <w:t>Prorogation du délai réglementaire</w:t>
          </w:r>
        </w:p>
      </w:tc>
      <w:tc>
        <w:tcPr>
          <w:tcW w:w="1701" w:type="dxa"/>
          <w:tcBorders>
            <w:top w:val="single" w:sz="6" w:space="0" w:color="auto"/>
            <w:left w:val="single" w:sz="6" w:space="0" w:color="auto"/>
            <w:bottom w:val="single" w:sz="6" w:space="0" w:color="auto"/>
            <w:right w:val="single" w:sz="6" w:space="0" w:color="auto"/>
          </w:tcBorders>
        </w:tcPr>
        <w:p w14:paraId="3956ABDC" w14:textId="77777777" w:rsidR="009B6C5F" w:rsidRDefault="009B6C5F" w:rsidP="009B6C5F">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D0BE093" w14:textId="77777777" w:rsidR="009B6C5F" w:rsidRDefault="009B6C5F" w:rsidP="009B6C5F">
          <w:pPr>
            <w:pStyle w:val="HeaderRegProc"/>
            <w:rPr>
              <w:lang w:val="fr-CH"/>
            </w:rPr>
          </w:pPr>
          <w:proofErr w:type="gramStart"/>
          <w:r>
            <w:rPr>
              <w:lang w:val="fr-CH"/>
            </w:rPr>
            <w:t>rév</w:t>
          </w:r>
          <w:proofErr w:type="gramEnd"/>
          <w:r>
            <w:rPr>
              <w:lang w:val="fr-CH"/>
            </w:rPr>
            <w:t>.</w:t>
          </w:r>
          <w:r>
            <w:t xml:space="preserve"> 2</w:t>
          </w:r>
        </w:p>
      </w:tc>
    </w:tr>
  </w:tbl>
  <w:p w14:paraId="62AD1A5C" w14:textId="77777777" w:rsidR="009B6C5F" w:rsidRDefault="009B6C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3005"/>
      <w:gridCol w:w="1701"/>
      <w:gridCol w:w="1701"/>
    </w:tblGrid>
    <w:tr w:rsidR="00A61CD6" w14:paraId="3B922FC0" w14:textId="77777777" w:rsidTr="009B6C5F">
      <w:trPr>
        <w:cantSplit/>
        <w:jc w:val="right"/>
      </w:trPr>
      <w:tc>
        <w:tcPr>
          <w:tcW w:w="1701" w:type="dxa"/>
          <w:tcBorders>
            <w:top w:val="single" w:sz="6" w:space="0" w:color="auto"/>
            <w:left w:val="single" w:sz="6" w:space="0" w:color="auto"/>
            <w:bottom w:val="single" w:sz="6" w:space="0" w:color="auto"/>
            <w:right w:val="single" w:sz="6" w:space="0" w:color="auto"/>
          </w:tcBorders>
        </w:tcPr>
        <w:p w14:paraId="7487DAE1" w14:textId="6527209C" w:rsidR="00A61CD6" w:rsidRPr="009B6C5F" w:rsidRDefault="00A61CD6" w:rsidP="009B6C5F">
          <w:pPr>
            <w:pStyle w:val="HeaderRegProc"/>
            <w:ind w:right="360" w:firstLine="287"/>
            <w:jc w:val="center"/>
            <w:rPr>
              <w:spacing w:val="-6"/>
            </w:rPr>
          </w:pPr>
          <w:r w:rsidRPr="009B6C5F">
            <w:rPr>
              <w:spacing w:val="-6"/>
            </w:rPr>
            <w:t>Part</w:t>
          </w:r>
          <w:r w:rsidR="000A1930" w:rsidRPr="009B6C5F">
            <w:rPr>
              <w:spacing w:val="-6"/>
            </w:rPr>
            <w:t>ie</w:t>
          </w:r>
          <w:r w:rsidRPr="009B6C5F">
            <w:rPr>
              <w:spacing w:val="-6"/>
            </w:rPr>
            <w:t xml:space="preserve"> A1</w:t>
          </w:r>
        </w:p>
      </w:tc>
      <w:tc>
        <w:tcPr>
          <w:tcW w:w="3005" w:type="dxa"/>
          <w:tcBorders>
            <w:top w:val="single" w:sz="6" w:space="0" w:color="auto"/>
            <w:left w:val="single" w:sz="6" w:space="0" w:color="auto"/>
            <w:bottom w:val="single" w:sz="6" w:space="0" w:color="auto"/>
            <w:right w:val="single" w:sz="6" w:space="0" w:color="auto"/>
          </w:tcBorders>
        </w:tcPr>
        <w:p w14:paraId="1AE4D869" w14:textId="40B79723" w:rsidR="00A61CD6" w:rsidRPr="009B6C5F" w:rsidRDefault="009B6C5F" w:rsidP="009B6C5F">
          <w:pPr>
            <w:pStyle w:val="HeaderRegProc"/>
            <w:ind w:left="0"/>
            <w:jc w:val="center"/>
            <w:rPr>
              <w:spacing w:val="-10"/>
            </w:rPr>
          </w:pPr>
          <w:r w:rsidRPr="009B6C5F">
            <w:rPr>
              <w:spacing w:val="-10"/>
            </w:rPr>
            <w:t>Prorogation du délai réglementaire</w:t>
          </w:r>
        </w:p>
      </w:tc>
      <w:tc>
        <w:tcPr>
          <w:tcW w:w="1701" w:type="dxa"/>
          <w:tcBorders>
            <w:top w:val="single" w:sz="6" w:space="0" w:color="auto"/>
            <w:left w:val="single" w:sz="6" w:space="0" w:color="auto"/>
            <w:bottom w:val="single" w:sz="6" w:space="0" w:color="auto"/>
            <w:right w:val="single" w:sz="6" w:space="0" w:color="auto"/>
          </w:tcBorders>
        </w:tcPr>
        <w:p w14:paraId="584EF28F" w14:textId="77777777" w:rsidR="00A61CD6" w:rsidRDefault="00A61CD6" w:rsidP="00A61CD6">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7BC3D8D" w14:textId="0C88D113" w:rsidR="00A61CD6" w:rsidRDefault="00A61CD6" w:rsidP="00A61CD6">
          <w:pPr>
            <w:pStyle w:val="HeaderRegProc"/>
            <w:rPr>
              <w:lang w:val="fr-CH"/>
            </w:rPr>
          </w:pPr>
          <w:proofErr w:type="gramStart"/>
          <w:r>
            <w:rPr>
              <w:lang w:val="fr-CH"/>
            </w:rPr>
            <w:t>r</w:t>
          </w:r>
          <w:r w:rsidR="000A1930">
            <w:rPr>
              <w:lang w:val="fr-CH"/>
            </w:rPr>
            <w:t>é</w:t>
          </w:r>
          <w:r>
            <w:rPr>
              <w:lang w:val="fr-CH"/>
            </w:rPr>
            <w:t>v</w:t>
          </w:r>
          <w:proofErr w:type="gramEnd"/>
          <w:r>
            <w:rPr>
              <w:lang w:val="fr-CH"/>
            </w:rPr>
            <w:t>.</w:t>
          </w:r>
          <w:r>
            <w:t xml:space="preserve"> </w:t>
          </w:r>
          <w:r w:rsidR="006F7B86">
            <w:t>2</w:t>
          </w:r>
        </w:p>
      </w:tc>
    </w:tr>
  </w:tbl>
  <w:p w14:paraId="3368979A" w14:textId="77777777" w:rsidR="001572A9" w:rsidRPr="0023544A" w:rsidRDefault="001572A9" w:rsidP="00633320">
    <w:pPr>
      <w:pStyle w:val="Heade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6B0C38"/>
    <w:multiLevelType w:val="hybridMultilevel"/>
    <w:tmpl w:val="D99A8ED2"/>
    <w:lvl w:ilvl="0" w:tplc="8B52604E">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s">
    <w15:presenceInfo w15:providerId="None" w15:userId="Edito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mirrorMargins/>
  <w:proofState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05BD1"/>
    <w:rsid w:val="00010EB5"/>
    <w:rsid w:val="00016F65"/>
    <w:rsid w:val="0002490E"/>
    <w:rsid w:val="00042823"/>
    <w:rsid w:val="00051837"/>
    <w:rsid w:val="000659D3"/>
    <w:rsid w:val="00073358"/>
    <w:rsid w:val="00081CA0"/>
    <w:rsid w:val="000A1930"/>
    <w:rsid w:val="000A2CD9"/>
    <w:rsid w:val="000A64E4"/>
    <w:rsid w:val="000B4AC9"/>
    <w:rsid w:val="000D4791"/>
    <w:rsid w:val="00105BC1"/>
    <w:rsid w:val="00121953"/>
    <w:rsid w:val="00155795"/>
    <w:rsid w:val="0015592B"/>
    <w:rsid w:val="001572A9"/>
    <w:rsid w:val="0016133F"/>
    <w:rsid w:val="00172FC3"/>
    <w:rsid w:val="001905D9"/>
    <w:rsid w:val="00195B3F"/>
    <w:rsid w:val="001A3CF5"/>
    <w:rsid w:val="001C15B5"/>
    <w:rsid w:val="001C5231"/>
    <w:rsid w:val="001F4AA8"/>
    <w:rsid w:val="00232FB0"/>
    <w:rsid w:val="0023544A"/>
    <w:rsid w:val="002652A5"/>
    <w:rsid w:val="002A2AAD"/>
    <w:rsid w:val="00304A93"/>
    <w:rsid w:val="003106BC"/>
    <w:rsid w:val="0035319D"/>
    <w:rsid w:val="00362EDF"/>
    <w:rsid w:val="003640DF"/>
    <w:rsid w:val="00365224"/>
    <w:rsid w:val="00393AE5"/>
    <w:rsid w:val="00393D1B"/>
    <w:rsid w:val="003D115E"/>
    <w:rsid w:val="003D3CBB"/>
    <w:rsid w:val="003F052E"/>
    <w:rsid w:val="00413951"/>
    <w:rsid w:val="00415437"/>
    <w:rsid w:val="004468F6"/>
    <w:rsid w:val="004623C8"/>
    <w:rsid w:val="00496185"/>
    <w:rsid w:val="0049691A"/>
    <w:rsid w:val="00496976"/>
    <w:rsid w:val="004A2559"/>
    <w:rsid w:val="004A29C9"/>
    <w:rsid w:val="004B0823"/>
    <w:rsid w:val="004C0641"/>
    <w:rsid w:val="004C2CD2"/>
    <w:rsid w:val="005034D7"/>
    <w:rsid w:val="00532D1F"/>
    <w:rsid w:val="00533768"/>
    <w:rsid w:val="00552DA9"/>
    <w:rsid w:val="00554361"/>
    <w:rsid w:val="00572EA0"/>
    <w:rsid w:val="00573907"/>
    <w:rsid w:val="00574DA9"/>
    <w:rsid w:val="00587117"/>
    <w:rsid w:val="00593162"/>
    <w:rsid w:val="005A1312"/>
    <w:rsid w:val="005A5B24"/>
    <w:rsid w:val="005A6A45"/>
    <w:rsid w:val="005A7374"/>
    <w:rsid w:val="005B5554"/>
    <w:rsid w:val="005C1258"/>
    <w:rsid w:val="005D64FA"/>
    <w:rsid w:val="005F52EB"/>
    <w:rsid w:val="006137A9"/>
    <w:rsid w:val="00633320"/>
    <w:rsid w:val="0065495A"/>
    <w:rsid w:val="00662E1B"/>
    <w:rsid w:val="00666193"/>
    <w:rsid w:val="0069500F"/>
    <w:rsid w:val="006A5B96"/>
    <w:rsid w:val="006B0BD6"/>
    <w:rsid w:val="006C4168"/>
    <w:rsid w:val="006F2FFC"/>
    <w:rsid w:val="006F5691"/>
    <w:rsid w:val="006F7B86"/>
    <w:rsid w:val="00705BD1"/>
    <w:rsid w:val="007062FD"/>
    <w:rsid w:val="0073371B"/>
    <w:rsid w:val="00761872"/>
    <w:rsid w:val="00784E3E"/>
    <w:rsid w:val="0081713E"/>
    <w:rsid w:val="00817A56"/>
    <w:rsid w:val="008919D9"/>
    <w:rsid w:val="008B2CEF"/>
    <w:rsid w:val="008D5D08"/>
    <w:rsid w:val="008E33F8"/>
    <w:rsid w:val="008F0A0E"/>
    <w:rsid w:val="00914EF4"/>
    <w:rsid w:val="009402A0"/>
    <w:rsid w:val="00961CAA"/>
    <w:rsid w:val="00966BEF"/>
    <w:rsid w:val="00976694"/>
    <w:rsid w:val="009804BA"/>
    <w:rsid w:val="009A0CF6"/>
    <w:rsid w:val="009B6C5F"/>
    <w:rsid w:val="009E4EA7"/>
    <w:rsid w:val="009E7087"/>
    <w:rsid w:val="009F3505"/>
    <w:rsid w:val="00A244E7"/>
    <w:rsid w:val="00A2787A"/>
    <w:rsid w:val="00A44FD1"/>
    <w:rsid w:val="00A61CD6"/>
    <w:rsid w:val="00A83C2C"/>
    <w:rsid w:val="00A96676"/>
    <w:rsid w:val="00AA32A2"/>
    <w:rsid w:val="00AB1062"/>
    <w:rsid w:val="00AB4677"/>
    <w:rsid w:val="00AE5055"/>
    <w:rsid w:val="00AF649D"/>
    <w:rsid w:val="00B05101"/>
    <w:rsid w:val="00B27A40"/>
    <w:rsid w:val="00B34F42"/>
    <w:rsid w:val="00B609A2"/>
    <w:rsid w:val="00B63DC3"/>
    <w:rsid w:val="00BA4048"/>
    <w:rsid w:val="00BE472D"/>
    <w:rsid w:val="00BF29F7"/>
    <w:rsid w:val="00BF4C5E"/>
    <w:rsid w:val="00C22DB3"/>
    <w:rsid w:val="00C43873"/>
    <w:rsid w:val="00C535A6"/>
    <w:rsid w:val="00C77365"/>
    <w:rsid w:val="00C82C70"/>
    <w:rsid w:val="00C94CCD"/>
    <w:rsid w:val="00CA3D79"/>
    <w:rsid w:val="00CB38E1"/>
    <w:rsid w:val="00CB72FC"/>
    <w:rsid w:val="00CC13B6"/>
    <w:rsid w:val="00CD0511"/>
    <w:rsid w:val="00CD423D"/>
    <w:rsid w:val="00D130EF"/>
    <w:rsid w:val="00D23E43"/>
    <w:rsid w:val="00D41FDB"/>
    <w:rsid w:val="00D700DC"/>
    <w:rsid w:val="00D84FDC"/>
    <w:rsid w:val="00D905BB"/>
    <w:rsid w:val="00D95169"/>
    <w:rsid w:val="00D975F5"/>
    <w:rsid w:val="00DA1E26"/>
    <w:rsid w:val="00DC6BD3"/>
    <w:rsid w:val="00DF0E47"/>
    <w:rsid w:val="00DF160E"/>
    <w:rsid w:val="00DF1968"/>
    <w:rsid w:val="00E0742F"/>
    <w:rsid w:val="00E1111E"/>
    <w:rsid w:val="00E4410A"/>
    <w:rsid w:val="00E720BB"/>
    <w:rsid w:val="00E82821"/>
    <w:rsid w:val="00E844FD"/>
    <w:rsid w:val="00E85582"/>
    <w:rsid w:val="00EA3B45"/>
    <w:rsid w:val="00EB1CEC"/>
    <w:rsid w:val="00ED3D51"/>
    <w:rsid w:val="00ED6EF7"/>
    <w:rsid w:val="00EE2D54"/>
    <w:rsid w:val="00F327DA"/>
    <w:rsid w:val="00F51205"/>
    <w:rsid w:val="00F54ABD"/>
    <w:rsid w:val="00F60C74"/>
    <w:rsid w:val="00F857B2"/>
    <w:rsid w:val="00F878DB"/>
    <w:rsid w:val="00FA6B97"/>
    <w:rsid w:val="00FA799D"/>
    <w:rsid w:val="00FE3E5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3E577D"/>
  <w15:docId w15:val="{E1EE19B8-37CA-435E-8184-99EB2FA5A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5B24"/>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16133F"/>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16133F"/>
    <w:pPr>
      <w:spacing w:before="480"/>
      <w:outlineLvl w:val="1"/>
    </w:pPr>
    <w:rPr>
      <w:sz w:val="26"/>
    </w:rPr>
  </w:style>
  <w:style w:type="paragraph" w:styleId="Heading3">
    <w:name w:val="heading 3"/>
    <w:basedOn w:val="Heading1"/>
    <w:next w:val="Normal"/>
    <w:qFormat/>
    <w:rsid w:val="0016133F"/>
    <w:pPr>
      <w:spacing w:before="360"/>
      <w:outlineLvl w:val="2"/>
    </w:pPr>
    <w:rPr>
      <w:sz w:val="24"/>
    </w:rPr>
  </w:style>
  <w:style w:type="paragraph" w:styleId="Heading4">
    <w:name w:val="heading 4"/>
    <w:basedOn w:val="Heading3"/>
    <w:next w:val="Normal"/>
    <w:qFormat/>
    <w:rsid w:val="0016133F"/>
    <w:pPr>
      <w:outlineLvl w:val="3"/>
    </w:pPr>
  </w:style>
  <w:style w:type="paragraph" w:styleId="Heading5">
    <w:name w:val="heading 5"/>
    <w:basedOn w:val="Heading3"/>
    <w:next w:val="Normal"/>
    <w:qFormat/>
    <w:rsid w:val="0016133F"/>
    <w:pPr>
      <w:outlineLvl w:val="4"/>
    </w:pPr>
  </w:style>
  <w:style w:type="paragraph" w:styleId="Heading6">
    <w:name w:val="heading 6"/>
    <w:basedOn w:val="Heading3"/>
    <w:next w:val="Normal"/>
    <w:qFormat/>
    <w:rsid w:val="0016133F"/>
    <w:pPr>
      <w:outlineLvl w:val="5"/>
    </w:pPr>
  </w:style>
  <w:style w:type="paragraph" w:styleId="Heading7">
    <w:name w:val="heading 7"/>
    <w:basedOn w:val="Heading3"/>
    <w:next w:val="Normal"/>
    <w:qFormat/>
    <w:rsid w:val="0016133F"/>
    <w:pPr>
      <w:outlineLvl w:val="6"/>
    </w:pPr>
  </w:style>
  <w:style w:type="paragraph" w:styleId="Heading8">
    <w:name w:val="heading 8"/>
    <w:basedOn w:val="Heading3"/>
    <w:next w:val="Normal"/>
    <w:qFormat/>
    <w:rsid w:val="0016133F"/>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16133F"/>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16133F"/>
    <w:rPr>
      <w:vertAlign w:val="superscript"/>
    </w:rPr>
  </w:style>
  <w:style w:type="paragraph" w:styleId="TOC8">
    <w:name w:val="toc 8"/>
    <w:basedOn w:val="Normal"/>
    <w:next w:val="Normal"/>
    <w:semiHidden/>
    <w:rsid w:val="0016133F"/>
    <w:pPr>
      <w:tabs>
        <w:tab w:val="left" w:pos="7711"/>
        <w:tab w:val="right" w:leader="dot" w:pos="9725"/>
      </w:tabs>
      <w:ind w:left="6350"/>
    </w:pPr>
  </w:style>
  <w:style w:type="paragraph" w:styleId="TOC7">
    <w:name w:val="toc 7"/>
    <w:basedOn w:val="Normal"/>
    <w:next w:val="Normal"/>
    <w:semiHidden/>
    <w:rsid w:val="0016133F"/>
    <w:pPr>
      <w:tabs>
        <w:tab w:val="left" w:pos="6350"/>
        <w:tab w:val="right" w:leader="dot" w:pos="9725"/>
      </w:tabs>
      <w:ind w:left="5103"/>
    </w:pPr>
  </w:style>
  <w:style w:type="paragraph" w:styleId="TOC6">
    <w:name w:val="toc 6"/>
    <w:basedOn w:val="TOC4"/>
    <w:next w:val="Normal"/>
    <w:semiHidden/>
    <w:rsid w:val="0016133F"/>
    <w:pPr>
      <w:ind w:left="3913"/>
    </w:pPr>
  </w:style>
  <w:style w:type="paragraph" w:styleId="TOC4">
    <w:name w:val="toc 4"/>
    <w:basedOn w:val="TOC3"/>
    <w:next w:val="Normal"/>
    <w:semiHidden/>
    <w:rsid w:val="0016133F"/>
    <w:pPr>
      <w:tabs>
        <w:tab w:val="clear" w:pos="2268"/>
      </w:tabs>
      <w:spacing w:before="80"/>
      <w:ind w:left="3119" w:hanging="851"/>
    </w:pPr>
  </w:style>
  <w:style w:type="paragraph" w:styleId="TOC3">
    <w:name w:val="toc 3"/>
    <w:basedOn w:val="TOC2"/>
    <w:next w:val="Normal"/>
    <w:semiHidden/>
    <w:rsid w:val="0016133F"/>
    <w:pPr>
      <w:tabs>
        <w:tab w:val="clear" w:pos="1985"/>
        <w:tab w:val="left" w:pos="2268"/>
      </w:tabs>
      <w:ind w:left="2268" w:hanging="2268"/>
    </w:pPr>
  </w:style>
  <w:style w:type="paragraph" w:styleId="TOC2">
    <w:name w:val="toc 2"/>
    <w:basedOn w:val="TOC1"/>
    <w:next w:val="Normal"/>
    <w:semiHidden/>
    <w:rsid w:val="0016133F"/>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16133F"/>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16133F"/>
    <w:pPr>
      <w:tabs>
        <w:tab w:val="clear" w:pos="2268"/>
        <w:tab w:val="left" w:pos="3062"/>
      </w:tabs>
      <w:ind w:left="3062" w:hanging="3062"/>
    </w:pPr>
  </w:style>
  <w:style w:type="paragraph" w:styleId="Index1">
    <w:name w:val="index 1"/>
    <w:basedOn w:val="Normal"/>
    <w:next w:val="Normal"/>
    <w:semiHidden/>
    <w:rsid w:val="0016133F"/>
  </w:style>
  <w:style w:type="paragraph" w:styleId="Footer">
    <w:name w:val="footer"/>
    <w:basedOn w:val="Normal"/>
    <w:rsid w:val="0016133F"/>
    <w:pPr>
      <w:tabs>
        <w:tab w:val="left" w:pos="567"/>
        <w:tab w:val="center" w:pos="3742"/>
        <w:tab w:val="right" w:pos="6974"/>
      </w:tabs>
    </w:pPr>
  </w:style>
  <w:style w:type="paragraph" w:styleId="Header">
    <w:name w:val="header"/>
    <w:basedOn w:val="Normal"/>
    <w:rsid w:val="0016133F"/>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sid w:val="0016133F"/>
    <w:rPr>
      <w:position w:val="6"/>
      <w:sz w:val="16"/>
    </w:rPr>
  </w:style>
  <w:style w:type="paragraph" w:styleId="FootnoteText">
    <w:name w:val="footnote text"/>
    <w:basedOn w:val="Normal"/>
    <w:link w:val="FootnoteTextChar"/>
    <w:rsid w:val="0016133F"/>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16133F"/>
    <w:pPr>
      <w:spacing w:before="120"/>
      <w:ind w:left="1134"/>
    </w:pPr>
  </w:style>
  <w:style w:type="paragraph" w:customStyle="1" w:styleId="TableLegend">
    <w:name w:val="Table_Legend"/>
    <w:basedOn w:val="TableText"/>
    <w:next w:val="Normal"/>
    <w:rsid w:val="0016133F"/>
    <w:pPr>
      <w:keepNext/>
      <w:tabs>
        <w:tab w:val="left" w:pos="284"/>
        <w:tab w:val="left" w:pos="567"/>
        <w:tab w:val="left" w:pos="851"/>
        <w:tab w:val="left" w:pos="1134"/>
      </w:tabs>
      <w:spacing w:before="120" w:after="0"/>
    </w:pPr>
  </w:style>
  <w:style w:type="paragraph" w:customStyle="1" w:styleId="TableText">
    <w:name w:val="Table_Text"/>
    <w:basedOn w:val="Normal"/>
    <w:rsid w:val="0016133F"/>
    <w:pPr>
      <w:tabs>
        <w:tab w:val="clear" w:pos="1134"/>
        <w:tab w:val="clear" w:pos="1871"/>
        <w:tab w:val="clear" w:pos="2268"/>
      </w:tabs>
      <w:spacing w:before="40" w:after="40"/>
    </w:pPr>
    <w:rPr>
      <w:sz w:val="20"/>
    </w:rPr>
  </w:style>
  <w:style w:type="paragraph" w:customStyle="1" w:styleId="TableTitle">
    <w:name w:val="Table_Title"/>
    <w:basedOn w:val="Table"/>
    <w:next w:val="TableText"/>
    <w:rsid w:val="0016133F"/>
    <w:pPr>
      <w:spacing w:before="0"/>
    </w:pPr>
    <w:rPr>
      <w:b/>
    </w:rPr>
  </w:style>
  <w:style w:type="paragraph" w:customStyle="1" w:styleId="Table">
    <w:name w:val="Table_#"/>
    <w:basedOn w:val="Normal"/>
    <w:next w:val="TableTitle"/>
    <w:rsid w:val="0016133F"/>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16133F"/>
    <w:pPr>
      <w:tabs>
        <w:tab w:val="clear" w:pos="2268"/>
        <w:tab w:val="left" w:pos="2608"/>
        <w:tab w:val="left" w:pos="3345"/>
      </w:tabs>
      <w:spacing w:before="120"/>
      <w:ind w:left="454" w:hanging="454"/>
    </w:pPr>
  </w:style>
  <w:style w:type="paragraph" w:customStyle="1" w:styleId="enumlev2">
    <w:name w:val="enumlev2"/>
    <w:basedOn w:val="enumlev1"/>
    <w:rsid w:val="0016133F"/>
    <w:pPr>
      <w:tabs>
        <w:tab w:val="left" w:pos="907"/>
      </w:tabs>
      <w:ind w:left="908"/>
    </w:pPr>
  </w:style>
  <w:style w:type="paragraph" w:customStyle="1" w:styleId="enumlev3">
    <w:name w:val="enumlev3"/>
    <w:basedOn w:val="enumlev2"/>
    <w:rsid w:val="0016133F"/>
    <w:pPr>
      <w:tabs>
        <w:tab w:val="clear" w:pos="1134"/>
        <w:tab w:val="clear" w:pos="1871"/>
        <w:tab w:val="clear" w:pos="2608"/>
        <w:tab w:val="left" w:pos="1361"/>
      </w:tabs>
      <w:ind w:left="1361"/>
    </w:pPr>
  </w:style>
  <w:style w:type="paragraph" w:customStyle="1" w:styleId="Figure">
    <w:name w:val="Figure"/>
    <w:basedOn w:val="Normal"/>
    <w:rsid w:val="0016133F"/>
    <w:pPr>
      <w:keepNext/>
      <w:keepLines/>
      <w:spacing w:before="240"/>
      <w:jc w:val="center"/>
    </w:pPr>
  </w:style>
  <w:style w:type="paragraph" w:customStyle="1" w:styleId="FigureLegend">
    <w:name w:val="Figure_Legend"/>
    <w:basedOn w:val="TableLegend"/>
    <w:next w:val="Figure0"/>
    <w:rsid w:val="0016133F"/>
  </w:style>
  <w:style w:type="paragraph" w:customStyle="1" w:styleId="Figure0">
    <w:name w:val="Figure_#"/>
    <w:basedOn w:val="Table"/>
    <w:next w:val="FigureTitle"/>
    <w:rsid w:val="0016133F"/>
  </w:style>
  <w:style w:type="paragraph" w:customStyle="1" w:styleId="FigureTitle">
    <w:name w:val="Figure_Title"/>
    <w:basedOn w:val="TableTitle"/>
    <w:next w:val="Normal"/>
    <w:rsid w:val="0016133F"/>
    <w:pPr>
      <w:spacing w:after="720"/>
    </w:pPr>
  </w:style>
  <w:style w:type="paragraph" w:customStyle="1" w:styleId="Annex">
    <w:name w:val="Annex_#"/>
    <w:basedOn w:val="Art"/>
    <w:next w:val="AnnexRef"/>
    <w:rsid w:val="0016133F"/>
  </w:style>
  <w:style w:type="paragraph" w:customStyle="1" w:styleId="Art">
    <w:name w:val="Art_#"/>
    <w:basedOn w:val="Normal"/>
    <w:next w:val="Arttitle"/>
    <w:rsid w:val="0016133F"/>
    <w:pPr>
      <w:keepNext/>
      <w:keepLines/>
      <w:spacing w:before="720"/>
      <w:jc w:val="center"/>
    </w:pPr>
    <w:rPr>
      <w:sz w:val="28"/>
    </w:rPr>
  </w:style>
  <w:style w:type="paragraph" w:customStyle="1" w:styleId="Arttitle">
    <w:name w:val="Art_title"/>
    <w:next w:val="Normalaftertitle"/>
    <w:rsid w:val="0016133F"/>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16133F"/>
    <w:pPr>
      <w:spacing w:before="360"/>
    </w:pPr>
  </w:style>
  <w:style w:type="paragraph" w:customStyle="1" w:styleId="AnnexRef">
    <w:name w:val="Annex_Ref"/>
    <w:basedOn w:val="Normal"/>
    <w:rsid w:val="0016133F"/>
    <w:pPr>
      <w:jc w:val="center"/>
    </w:pPr>
  </w:style>
  <w:style w:type="paragraph" w:customStyle="1" w:styleId="AnnexTitle">
    <w:name w:val="Annex_Title"/>
    <w:basedOn w:val="Arttitle"/>
    <w:next w:val="Normal"/>
    <w:rsid w:val="0016133F"/>
    <w:pPr>
      <w:spacing w:after="0"/>
    </w:pPr>
  </w:style>
  <w:style w:type="paragraph" w:customStyle="1" w:styleId="Appendix">
    <w:name w:val="Appendix_#"/>
    <w:basedOn w:val="Art"/>
    <w:next w:val="AppendixTitle"/>
    <w:rsid w:val="0016133F"/>
  </w:style>
  <w:style w:type="paragraph" w:customStyle="1" w:styleId="AppendixTitle">
    <w:name w:val="Appendix_Title"/>
    <w:basedOn w:val="Arttitle"/>
    <w:next w:val="Normal"/>
    <w:rsid w:val="0016133F"/>
  </w:style>
  <w:style w:type="paragraph" w:customStyle="1" w:styleId="headfoot">
    <w:name w:val="head_foot"/>
    <w:basedOn w:val="Normal"/>
    <w:next w:val="Normalaftertitle"/>
    <w:rsid w:val="0016133F"/>
    <w:pPr>
      <w:spacing w:before="0"/>
    </w:pPr>
    <w:rPr>
      <w:color w:val="0000FF"/>
      <w:sz w:val="20"/>
    </w:rPr>
  </w:style>
  <w:style w:type="paragraph" w:customStyle="1" w:styleId="AppendixRef">
    <w:name w:val="Appendix_Ref"/>
    <w:basedOn w:val="AnnexRef"/>
    <w:next w:val="AppendixTitle"/>
    <w:rsid w:val="0016133F"/>
  </w:style>
  <w:style w:type="paragraph" w:customStyle="1" w:styleId="RefTitle">
    <w:name w:val="Ref_Title"/>
    <w:basedOn w:val="Normal"/>
    <w:next w:val="RefText"/>
    <w:rsid w:val="0016133F"/>
    <w:pPr>
      <w:spacing w:before="480"/>
      <w:jc w:val="left"/>
    </w:pPr>
    <w:rPr>
      <w:b/>
    </w:rPr>
  </w:style>
  <w:style w:type="paragraph" w:customStyle="1" w:styleId="RefText">
    <w:name w:val="Ref_Text"/>
    <w:basedOn w:val="Normal"/>
    <w:rsid w:val="0016133F"/>
  </w:style>
  <w:style w:type="paragraph" w:customStyle="1" w:styleId="listitem">
    <w:name w:val="listitem"/>
    <w:basedOn w:val="Normal"/>
    <w:rsid w:val="0016133F"/>
    <w:pPr>
      <w:keepLines/>
      <w:spacing w:before="0"/>
      <w:jc w:val="left"/>
    </w:pPr>
  </w:style>
  <w:style w:type="paragraph" w:customStyle="1" w:styleId="TableRef">
    <w:name w:val="Table_Ref"/>
    <w:basedOn w:val="Normal"/>
    <w:next w:val="TableTitle"/>
    <w:rsid w:val="0016133F"/>
    <w:pPr>
      <w:keepNext/>
      <w:spacing w:before="567"/>
      <w:jc w:val="center"/>
    </w:pPr>
    <w:rPr>
      <w:sz w:val="18"/>
    </w:rPr>
  </w:style>
  <w:style w:type="paragraph" w:customStyle="1" w:styleId="Signcountry">
    <w:name w:val="Sign_country"/>
    <w:basedOn w:val="Normal"/>
    <w:next w:val="SignPart"/>
    <w:rsid w:val="0016133F"/>
    <w:pPr>
      <w:keepNext/>
      <w:keepLines/>
      <w:spacing w:before="240" w:after="57"/>
      <w:jc w:val="left"/>
    </w:pPr>
    <w:rPr>
      <w:b/>
    </w:rPr>
  </w:style>
  <w:style w:type="paragraph" w:customStyle="1" w:styleId="SignPart">
    <w:name w:val="Sign_Part"/>
    <w:basedOn w:val="Signcountry"/>
    <w:rsid w:val="0016133F"/>
    <w:pPr>
      <w:keepNext w:val="0"/>
      <w:keepLines w:val="0"/>
      <w:spacing w:before="0"/>
      <w:ind w:left="284"/>
    </w:pPr>
    <w:rPr>
      <w:b w:val="0"/>
      <w:smallCaps/>
    </w:rPr>
  </w:style>
  <w:style w:type="paragraph" w:customStyle="1" w:styleId="Chap">
    <w:name w:val="Chap_#"/>
    <w:basedOn w:val="Art"/>
    <w:next w:val="Chaptitle"/>
    <w:rsid w:val="0016133F"/>
    <w:pPr>
      <w:spacing w:before="1200"/>
    </w:pPr>
    <w:rPr>
      <w:sz w:val="32"/>
    </w:rPr>
  </w:style>
  <w:style w:type="paragraph" w:customStyle="1" w:styleId="Chaptitle">
    <w:name w:val="Chap_title"/>
    <w:basedOn w:val="Arttitle"/>
    <w:next w:val="Art"/>
    <w:rsid w:val="0016133F"/>
    <w:rPr>
      <w:sz w:val="32"/>
    </w:rPr>
  </w:style>
  <w:style w:type="paragraph" w:customStyle="1" w:styleId="Protfin">
    <w:name w:val="Prot_fin"/>
    <w:basedOn w:val="Normal"/>
    <w:next w:val="Normalaftertitle"/>
    <w:rsid w:val="0016133F"/>
    <w:pPr>
      <w:pageBreakBefore/>
      <w:spacing w:before="720" w:after="240"/>
      <w:jc w:val="center"/>
    </w:pPr>
    <w:rPr>
      <w:b/>
    </w:rPr>
  </w:style>
  <w:style w:type="paragraph" w:customStyle="1" w:styleId="Prot">
    <w:name w:val="Prot_#"/>
    <w:basedOn w:val="Normal"/>
    <w:next w:val="Protlang"/>
    <w:rsid w:val="0016133F"/>
    <w:pPr>
      <w:keepNext/>
      <w:spacing w:before="240"/>
      <w:jc w:val="center"/>
    </w:pPr>
  </w:style>
  <w:style w:type="paragraph" w:customStyle="1" w:styleId="Protlang">
    <w:name w:val="Prot_lang"/>
    <w:basedOn w:val="Prot"/>
    <w:next w:val="Protpays"/>
    <w:rsid w:val="0016133F"/>
    <w:pPr>
      <w:keepLines/>
      <w:framePr w:hSpace="181" w:vSpace="181" w:wrap="auto" w:hAnchor="text" w:xAlign="right"/>
      <w:spacing w:before="0"/>
      <w:jc w:val="right"/>
    </w:pPr>
    <w:rPr>
      <w:i/>
      <w:sz w:val="18"/>
    </w:rPr>
  </w:style>
  <w:style w:type="paragraph" w:customStyle="1" w:styleId="Protpays">
    <w:name w:val="Prot_pays"/>
    <w:basedOn w:val="Protlang"/>
    <w:next w:val="headfoot"/>
    <w:rsid w:val="0016133F"/>
    <w:pPr>
      <w:framePr w:wrap="auto"/>
      <w:spacing w:before="113" w:line="199" w:lineRule="exact"/>
      <w:jc w:val="left"/>
    </w:pPr>
  </w:style>
  <w:style w:type="paragraph" w:customStyle="1" w:styleId="Prottexte">
    <w:name w:val="Prot_texte"/>
    <w:basedOn w:val="Protlang"/>
    <w:rsid w:val="0016133F"/>
    <w:pPr>
      <w:keepNext w:val="0"/>
      <w:keepLines w:val="0"/>
      <w:framePr w:wrap="auto"/>
      <w:spacing w:before="113" w:line="199" w:lineRule="exact"/>
      <w:jc w:val="both"/>
    </w:pPr>
    <w:rPr>
      <w:i w:val="0"/>
    </w:rPr>
  </w:style>
  <w:style w:type="paragraph" w:customStyle="1" w:styleId="Protcall">
    <w:name w:val="Prot_call"/>
    <w:basedOn w:val="Prottexte"/>
    <w:next w:val="Prottexte"/>
    <w:rsid w:val="0016133F"/>
    <w:pPr>
      <w:keepNext/>
      <w:keepLines/>
      <w:framePr w:wrap="auto" w:xAlign="left"/>
      <w:spacing w:before="170"/>
      <w:ind w:left="794"/>
      <w:jc w:val="left"/>
    </w:pPr>
    <w:rPr>
      <w:i/>
    </w:rPr>
  </w:style>
  <w:style w:type="paragraph" w:customStyle="1" w:styleId="Res">
    <w:name w:val="Res_#"/>
    <w:basedOn w:val="Art"/>
    <w:next w:val="Restitle"/>
    <w:rsid w:val="0016133F"/>
  </w:style>
  <w:style w:type="paragraph" w:customStyle="1" w:styleId="Restitle">
    <w:name w:val="Res_title"/>
    <w:basedOn w:val="Arttitle"/>
    <w:next w:val="headfoot"/>
    <w:rsid w:val="0016133F"/>
    <w:pPr>
      <w:spacing w:after="120"/>
    </w:pPr>
  </w:style>
  <w:style w:type="paragraph" w:customStyle="1" w:styleId="Rec">
    <w:name w:val="Rec_#"/>
    <w:basedOn w:val="Res"/>
    <w:next w:val="Rectitle"/>
    <w:rsid w:val="0016133F"/>
  </w:style>
  <w:style w:type="paragraph" w:customStyle="1" w:styleId="Rectitle">
    <w:name w:val="Rec_title"/>
    <w:basedOn w:val="Restitle"/>
    <w:next w:val="headfoot"/>
    <w:rsid w:val="0016133F"/>
  </w:style>
  <w:style w:type="paragraph" w:customStyle="1" w:styleId="Equation">
    <w:name w:val="Equation"/>
    <w:basedOn w:val="Normal"/>
    <w:rsid w:val="0016133F"/>
    <w:pPr>
      <w:tabs>
        <w:tab w:val="clear" w:pos="1871"/>
        <w:tab w:val="clear" w:pos="2268"/>
        <w:tab w:val="center" w:pos="4678"/>
        <w:tab w:val="right" w:pos="9356"/>
      </w:tabs>
      <w:jc w:val="left"/>
    </w:pPr>
  </w:style>
  <w:style w:type="paragraph" w:customStyle="1" w:styleId="Note">
    <w:name w:val="Note"/>
    <w:basedOn w:val="Normal"/>
    <w:rsid w:val="0016133F"/>
    <w:pPr>
      <w:tabs>
        <w:tab w:val="left" w:pos="284"/>
      </w:tabs>
      <w:spacing w:before="160"/>
    </w:pPr>
    <w:rPr>
      <w:sz w:val="20"/>
    </w:rPr>
  </w:style>
  <w:style w:type="paragraph" w:customStyle="1" w:styleId="Signcountry0">
    <w:name w:val="Sign country"/>
    <w:basedOn w:val="Normal"/>
    <w:next w:val="Signpart0"/>
    <w:rsid w:val="0016133F"/>
    <w:pPr>
      <w:keepNext/>
      <w:keepLines/>
      <w:spacing w:before="240" w:after="57"/>
      <w:jc w:val="left"/>
    </w:pPr>
    <w:rPr>
      <w:b/>
    </w:rPr>
  </w:style>
  <w:style w:type="paragraph" w:customStyle="1" w:styleId="Signpart0">
    <w:name w:val="Sign part"/>
    <w:basedOn w:val="Signcountry0"/>
    <w:rsid w:val="0016133F"/>
    <w:pPr>
      <w:keepNext w:val="0"/>
      <w:keepLines w:val="0"/>
      <w:spacing w:before="0"/>
      <w:ind w:left="284"/>
    </w:pPr>
    <w:rPr>
      <w:b w:val="0"/>
      <w:smallCaps/>
    </w:rPr>
  </w:style>
  <w:style w:type="paragraph" w:customStyle="1" w:styleId="Section1">
    <w:name w:val="Section_1"/>
    <w:basedOn w:val="Normal"/>
    <w:rsid w:val="0016133F"/>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16133F"/>
    <w:pPr>
      <w:pageBreakBefore/>
      <w:spacing w:before="720" w:after="240"/>
      <w:jc w:val="center"/>
    </w:pPr>
    <w:rPr>
      <w:b/>
    </w:rPr>
  </w:style>
  <w:style w:type="paragraph" w:customStyle="1" w:styleId="Prot0">
    <w:name w:val="Prot #"/>
    <w:basedOn w:val="Normal"/>
    <w:next w:val="Protlang0"/>
    <w:rsid w:val="0016133F"/>
    <w:pPr>
      <w:keepNext/>
      <w:spacing w:before="240"/>
      <w:jc w:val="center"/>
    </w:pPr>
  </w:style>
  <w:style w:type="paragraph" w:customStyle="1" w:styleId="Protlang0">
    <w:name w:val="Prot lang"/>
    <w:basedOn w:val="Prot0"/>
    <w:next w:val="Protpays0"/>
    <w:rsid w:val="0016133F"/>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16133F"/>
    <w:pPr>
      <w:framePr w:wrap="auto"/>
      <w:spacing w:before="113" w:line="199" w:lineRule="exact"/>
      <w:jc w:val="left"/>
    </w:pPr>
  </w:style>
  <w:style w:type="paragraph" w:customStyle="1" w:styleId="Prottexte0">
    <w:name w:val="Prot texte"/>
    <w:basedOn w:val="Protlang0"/>
    <w:rsid w:val="0016133F"/>
    <w:pPr>
      <w:keepNext w:val="0"/>
      <w:keepLines w:val="0"/>
      <w:framePr w:wrap="auto"/>
      <w:spacing w:before="113" w:line="199" w:lineRule="exact"/>
      <w:jc w:val="both"/>
    </w:pPr>
    <w:rPr>
      <w:i w:val="0"/>
    </w:rPr>
  </w:style>
  <w:style w:type="paragraph" w:customStyle="1" w:styleId="Protcall0">
    <w:name w:val="Prot call"/>
    <w:basedOn w:val="Prottexte0"/>
    <w:next w:val="Prottexte0"/>
    <w:rsid w:val="0016133F"/>
    <w:pPr>
      <w:keepNext/>
      <w:keepLines/>
      <w:framePr w:wrap="auto" w:xAlign="left"/>
      <w:spacing w:before="170"/>
      <w:ind w:left="794"/>
      <w:jc w:val="left"/>
    </w:pPr>
    <w:rPr>
      <w:i/>
    </w:rPr>
  </w:style>
  <w:style w:type="character" w:styleId="PageNumber">
    <w:name w:val="page number"/>
    <w:basedOn w:val="DefaultParagraphFont"/>
    <w:rsid w:val="0016133F"/>
  </w:style>
  <w:style w:type="paragraph" w:customStyle="1" w:styleId="TableFin">
    <w:name w:val="Table_Fin"/>
    <w:basedOn w:val="Normal"/>
    <w:rsid w:val="0016133F"/>
    <w:pPr>
      <w:tabs>
        <w:tab w:val="clear" w:pos="1134"/>
      </w:tabs>
      <w:spacing w:before="0"/>
    </w:pPr>
    <w:rPr>
      <w:sz w:val="12"/>
    </w:rPr>
  </w:style>
  <w:style w:type="paragraph" w:customStyle="1" w:styleId="MEP">
    <w:name w:val="MEP"/>
    <w:basedOn w:val="Normal"/>
    <w:rsid w:val="0016133F"/>
  </w:style>
  <w:style w:type="paragraph" w:customStyle="1" w:styleId="head">
    <w:name w:val="head"/>
    <w:basedOn w:val="headfoot"/>
    <w:rsid w:val="0016133F"/>
  </w:style>
  <w:style w:type="paragraph" w:customStyle="1" w:styleId="foot">
    <w:name w:val="foot"/>
    <w:basedOn w:val="headfoot"/>
    <w:rsid w:val="0016133F"/>
  </w:style>
  <w:style w:type="character" w:customStyle="1" w:styleId="href">
    <w:name w:val="href"/>
    <w:basedOn w:val="DefaultParagraphFont"/>
    <w:rsid w:val="0016133F"/>
  </w:style>
  <w:style w:type="paragraph" w:customStyle="1" w:styleId="Section2">
    <w:name w:val="Section_2"/>
    <w:basedOn w:val="Section1"/>
    <w:rsid w:val="0016133F"/>
    <w:pPr>
      <w:jc w:val="left"/>
    </w:pPr>
    <w:rPr>
      <w:b w:val="0"/>
      <w:i/>
    </w:rPr>
  </w:style>
  <w:style w:type="paragraph" w:customStyle="1" w:styleId="Section3">
    <w:name w:val="Section_3"/>
    <w:basedOn w:val="Section1"/>
    <w:rsid w:val="0016133F"/>
    <w:rPr>
      <w:b w:val="0"/>
    </w:rPr>
  </w:style>
  <w:style w:type="paragraph" w:customStyle="1" w:styleId="EquationLegend">
    <w:name w:val="Equation_Legend"/>
    <w:basedOn w:val="NormalIndent"/>
    <w:rsid w:val="0016133F"/>
  </w:style>
  <w:style w:type="paragraph" w:customStyle="1" w:styleId="Call">
    <w:name w:val="Call"/>
    <w:basedOn w:val="Normal"/>
    <w:next w:val="Normal"/>
    <w:rsid w:val="0016133F"/>
    <w:pPr>
      <w:tabs>
        <w:tab w:val="clear" w:pos="1871"/>
        <w:tab w:val="clear" w:pos="2268"/>
      </w:tabs>
      <w:spacing w:before="360"/>
      <w:ind w:left="1134"/>
    </w:pPr>
    <w:rPr>
      <w:i/>
    </w:rPr>
  </w:style>
  <w:style w:type="paragraph" w:customStyle="1" w:styleId="Headingb">
    <w:name w:val="Heading b"/>
    <w:basedOn w:val="Heading3"/>
    <w:rsid w:val="0016133F"/>
    <w:pPr>
      <w:spacing w:before="400"/>
      <w:ind w:left="0" w:firstLine="0"/>
      <w:outlineLvl w:val="9"/>
    </w:pPr>
  </w:style>
  <w:style w:type="paragraph" w:customStyle="1" w:styleId="TableHead">
    <w:name w:val="Table_Head"/>
    <w:basedOn w:val="TableText"/>
    <w:next w:val="TableText"/>
    <w:rsid w:val="0016133F"/>
    <w:pPr>
      <w:spacing w:before="80" w:after="80"/>
      <w:jc w:val="center"/>
    </w:pPr>
    <w:rPr>
      <w:b/>
    </w:rPr>
  </w:style>
  <w:style w:type="paragraph" w:customStyle="1" w:styleId="Line">
    <w:name w:val="Line"/>
    <w:basedOn w:val="Normal"/>
    <w:next w:val="Normal"/>
    <w:rsid w:val="0016133F"/>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6133F"/>
    <w:rPr>
      <w:b w:val="0"/>
      <w:i/>
    </w:rPr>
  </w:style>
  <w:style w:type="paragraph" w:styleId="TableofFigures">
    <w:name w:val="table of figures"/>
    <w:basedOn w:val="Normal"/>
    <w:next w:val="Normal"/>
    <w:semiHidden/>
    <w:rsid w:val="0016133F"/>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16133F"/>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16133F"/>
    <w:rPr>
      <w:sz w:val="16"/>
    </w:rPr>
  </w:style>
  <w:style w:type="paragraph" w:styleId="CommentText">
    <w:name w:val="annotation text"/>
    <w:basedOn w:val="Normal"/>
    <w:semiHidden/>
    <w:rsid w:val="0016133F"/>
    <w:rPr>
      <w:sz w:val="20"/>
      <w:lang w:val="fr-FR"/>
    </w:rPr>
  </w:style>
  <w:style w:type="paragraph" w:customStyle="1" w:styleId="Tabletext0">
    <w:name w:val="Table_text"/>
    <w:basedOn w:val="Normal"/>
    <w:rsid w:val="0016133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16133F"/>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16133F"/>
    <w:pPr>
      <w:keepNext/>
      <w:spacing w:before="80" w:after="80"/>
      <w:jc w:val="center"/>
    </w:pPr>
    <w:rPr>
      <w:b/>
    </w:rPr>
  </w:style>
  <w:style w:type="character" w:customStyle="1" w:styleId="Artrefdef">
    <w:name w:val="Art_ref_def"/>
    <w:basedOn w:val="DefaultParagraphFont"/>
    <w:rsid w:val="0016133F"/>
  </w:style>
  <w:style w:type="character" w:customStyle="1" w:styleId="Apprefdef">
    <w:name w:val="App_ref_def"/>
    <w:basedOn w:val="DefaultParagraphFont"/>
    <w:rsid w:val="0016133F"/>
  </w:style>
  <w:style w:type="character" w:customStyle="1" w:styleId="Resrefdef">
    <w:name w:val="Res_ref_def"/>
    <w:basedOn w:val="DefaultParagraphFont"/>
    <w:rsid w:val="0016133F"/>
  </w:style>
  <w:style w:type="paragraph" w:customStyle="1" w:styleId="HeaderRegProc">
    <w:name w:val="Header_RegProc"/>
    <w:basedOn w:val="Normal"/>
    <w:rsid w:val="0016133F"/>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16133F"/>
    <w:pPr>
      <w:tabs>
        <w:tab w:val="clear" w:pos="907"/>
        <w:tab w:val="left" w:pos="1814"/>
      </w:tabs>
      <w:spacing w:before="80"/>
      <w:ind w:left="1815"/>
    </w:pPr>
    <w:rPr>
      <w:lang w:val="fr-CH"/>
    </w:rPr>
  </w:style>
  <w:style w:type="character" w:customStyle="1" w:styleId="href2">
    <w:name w:val="href2"/>
    <w:basedOn w:val="href"/>
    <w:rsid w:val="0016133F"/>
  </w:style>
  <w:style w:type="character" w:customStyle="1" w:styleId="Style1">
    <w:name w:val="Style1"/>
    <w:basedOn w:val="DefaultParagraphFont"/>
    <w:rsid w:val="0016133F"/>
  </w:style>
  <w:style w:type="character" w:customStyle="1" w:styleId="Appdef">
    <w:name w:val="App_def"/>
    <w:basedOn w:val="DefaultParagraphFont"/>
    <w:rsid w:val="0016133F"/>
    <w:rPr>
      <w:b/>
      <w:color w:val="FFCC00"/>
    </w:rPr>
  </w:style>
  <w:style w:type="character" w:customStyle="1" w:styleId="Appref">
    <w:name w:val="App_ref"/>
    <w:basedOn w:val="DefaultParagraphFont"/>
    <w:rsid w:val="0016133F"/>
    <w:rPr>
      <w:color w:val="3366FF"/>
    </w:rPr>
  </w:style>
  <w:style w:type="character" w:customStyle="1" w:styleId="Artdef">
    <w:name w:val="Art_def"/>
    <w:basedOn w:val="DefaultParagraphFont"/>
    <w:rsid w:val="0016133F"/>
    <w:rPr>
      <w:b/>
      <w:color w:val="FFCC00"/>
    </w:rPr>
  </w:style>
  <w:style w:type="character" w:customStyle="1" w:styleId="Artref">
    <w:name w:val="Art_ref"/>
    <w:basedOn w:val="DefaultParagraphFont"/>
    <w:rsid w:val="0016133F"/>
    <w:rPr>
      <w:color w:val="3366FF"/>
    </w:rPr>
  </w:style>
  <w:style w:type="character" w:customStyle="1" w:styleId="Recdef">
    <w:name w:val="Rec_def"/>
    <w:basedOn w:val="DefaultParagraphFont"/>
    <w:rsid w:val="0016133F"/>
    <w:rPr>
      <w:b/>
      <w:color w:val="FFCC00"/>
    </w:rPr>
  </w:style>
  <w:style w:type="character" w:customStyle="1" w:styleId="Recref">
    <w:name w:val="Rec_ref"/>
    <w:basedOn w:val="DefaultParagraphFont"/>
    <w:rsid w:val="0016133F"/>
    <w:rPr>
      <w:color w:val="3366FF"/>
    </w:rPr>
  </w:style>
  <w:style w:type="character" w:customStyle="1" w:styleId="Resdef">
    <w:name w:val="Res_def"/>
    <w:basedOn w:val="DefaultParagraphFont"/>
    <w:rsid w:val="0016133F"/>
    <w:rPr>
      <w:b/>
      <w:color w:val="FFCC00"/>
    </w:rPr>
  </w:style>
  <w:style w:type="character" w:customStyle="1" w:styleId="Resref">
    <w:name w:val="Res_ref"/>
    <w:basedOn w:val="DefaultParagraphFont"/>
    <w:rsid w:val="0016133F"/>
    <w:rPr>
      <w:color w:val="3366FF"/>
    </w:rPr>
  </w:style>
  <w:style w:type="character" w:customStyle="1" w:styleId="Tableref0">
    <w:name w:val="Table_ref"/>
    <w:basedOn w:val="DefaultParagraphFont"/>
    <w:rsid w:val="0016133F"/>
    <w:rPr>
      <w:color w:val="3366FF"/>
    </w:rPr>
  </w:style>
  <w:style w:type="character" w:customStyle="1" w:styleId="Appref0">
    <w:name w:val="App#_ref"/>
    <w:basedOn w:val="DefaultParagraphFont"/>
    <w:rsid w:val="0016133F"/>
  </w:style>
  <w:style w:type="character" w:customStyle="1" w:styleId="Artref0">
    <w:name w:val="Art#_ref"/>
    <w:basedOn w:val="DefaultParagraphFont"/>
    <w:rsid w:val="0016133F"/>
  </w:style>
  <w:style w:type="character" w:customStyle="1" w:styleId="Resref0">
    <w:name w:val="Res#_ref"/>
    <w:basedOn w:val="DefaultParagraphFont"/>
    <w:rsid w:val="0016133F"/>
  </w:style>
  <w:style w:type="character" w:customStyle="1" w:styleId="FootnoteTextChar">
    <w:name w:val="Footnote Text Char"/>
    <w:basedOn w:val="DefaultParagraphFont"/>
    <w:link w:val="FootnoteText"/>
    <w:rsid w:val="00BF29F7"/>
    <w:rPr>
      <w:lang w:val="en-GB" w:eastAsia="en-US" w:bidi="ar-SA"/>
    </w:rPr>
  </w:style>
  <w:style w:type="paragraph" w:customStyle="1" w:styleId="Char">
    <w:name w:val="Char"/>
    <w:basedOn w:val="Normal"/>
    <w:rsid w:val="00BF29F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customStyle="1" w:styleId="TabletitleBR">
    <w:name w:val="Table_title_BR"/>
    <w:basedOn w:val="Normal"/>
    <w:next w:val="Tablehead0"/>
    <w:rsid w:val="00232FB0"/>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table" w:styleId="TableGrid">
    <w:name w:val="Table Grid"/>
    <w:basedOn w:val="TableNormal"/>
    <w:rsid w:val="00232FB0"/>
    <w:pPr>
      <w:tabs>
        <w:tab w:val="left" w:pos="1134"/>
        <w:tab w:val="left" w:pos="1871"/>
        <w:tab w:val="left" w:pos="2268"/>
      </w:tabs>
      <w:overflowPunct w:val="0"/>
      <w:autoSpaceDE w:val="0"/>
      <w:autoSpaceDN w:val="0"/>
      <w:adjustRightInd w:val="0"/>
      <w:spacing w:before="20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title">
    <w:name w:val="Question_title"/>
    <w:basedOn w:val="Rectitle"/>
    <w:next w:val="Normal"/>
    <w:rsid w:val="00232FB0"/>
    <w:pPr>
      <w:tabs>
        <w:tab w:val="left" w:pos="794"/>
        <w:tab w:val="left" w:pos="1191"/>
        <w:tab w:val="left" w:pos="1588"/>
        <w:tab w:val="left" w:pos="1985"/>
      </w:tabs>
      <w:spacing w:before="360" w:after="0"/>
    </w:pPr>
    <w:rPr>
      <w:noProof w:val="0"/>
      <w:lang w:val="en-GB"/>
    </w:rPr>
  </w:style>
  <w:style w:type="paragraph" w:customStyle="1" w:styleId="Equationlegend0">
    <w:name w:val="Equation_legend"/>
    <w:basedOn w:val="Normal"/>
    <w:rsid w:val="005A5B24"/>
    <w:pPr>
      <w:tabs>
        <w:tab w:val="clear" w:pos="1134"/>
        <w:tab w:val="clear" w:pos="1871"/>
        <w:tab w:val="clear" w:pos="2268"/>
        <w:tab w:val="right" w:pos="1814"/>
        <w:tab w:val="left" w:pos="1985"/>
      </w:tabs>
      <w:spacing w:before="80"/>
      <w:ind w:left="1985" w:hanging="1985"/>
    </w:pPr>
  </w:style>
  <w:style w:type="character" w:customStyle="1" w:styleId="enumlev1Char">
    <w:name w:val="enumlev1 Char"/>
    <w:basedOn w:val="DefaultParagraphFont"/>
    <w:link w:val="enumlev1"/>
    <w:rsid w:val="000A1930"/>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91C65-7E9F-47B7-9DA5-1424F69B4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209</TotalTime>
  <Pages>2</Pages>
  <Words>547</Words>
  <Characters>3797</Characters>
  <Application>Microsoft Office Word</Application>
  <DocSecurity>0</DocSecurity>
  <Lines>130</Lines>
  <Paragraphs>72</Paragraphs>
  <ScaleCrop>false</ScaleCrop>
  <HeadingPairs>
    <vt:vector size="2" baseType="variant">
      <vt:variant>
        <vt:lpstr>Title</vt:lpstr>
      </vt:variant>
      <vt:variant>
        <vt:i4>1</vt:i4>
      </vt:variant>
    </vt:vector>
  </HeadingPairs>
  <TitlesOfParts>
    <vt:vector size="1" baseType="lpstr">
      <vt:lpstr>Partie A11 - Règles relatives à la prorogation du délai réglementaire applicable à la mise en service d'assignations de fréquence à un satellite</vt:lpstr>
    </vt:vector>
  </TitlesOfParts>
  <Manager>CP--107223/DD</Manager>
  <Company>ITU</Company>
  <LinksUpToDate>false</LinksUpToDate>
  <CharactersWithSpaces>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relatives à la prorogation du délai réglementaire applicable à la mise en service d'assignations de fréquence à un satellite</dc:title>
  <dc:subject>GE06 du RR</dc:subject>
  <dc:creator/>
  <cp:keywords>FOLIOS:  1  -  4</cp:keywords>
  <dc:description>RoP-2021</dc:description>
  <cp:lastModifiedBy>Gachet, Christelle</cp:lastModifiedBy>
  <cp:revision>115</cp:revision>
  <cp:lastPrinted>2022-03-31T12:05:00Z</cp:lastPrinted>
  <dcterms:created xsi:type="dcterms:W3CDTF">2012-10-04T09:51:00Z</dcterms:created>
  <dcterms:modified xsi:type="dcterms:W3CDTF">2022-03-31T12:10:00Z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